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22" w:rsidRPr="00165F22" w:rsidRDefault="00165F22" w:rsidP="00165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65F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I.</w:t>
      </w:r>
    </w:p>
    <w:p w:rsidR="00165F22" w:rsidRPr="00165F22" w:rsidRDefault="00165F22" w:rsidP="00165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65F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OGRANIČENI PREKURSORI EKSPLOZIVA</w:t>
      </w:r>
    </w:p>
    <w:p w:rsidR="00165F22" w:rsidRPr="00165F22" w:rsidRDefault="00165F22" w:rsidP="00165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65F22">
        <w:rPr>
          <w:rFonts w:ascii="Times New Roman" w:eastAsia="Times New Roman" w:hAnsi="Times New Roman" w:cs="Times New Roman"/>
          <w:sz w:val="18"/>
          <w:szCs w:val="18"/>
          <w:lang w:eastAsia="hr-HR"/>
        </w:rPr>
        <w:t>Popis tvari koje se ne stavljaju na raspolaganje pojedinačnim korisnicima, niti ih pojedinačni korisnici uvode, posjeduju ili upotrebljavaju kao takve ili u smjesama ili tvarima koje sadržavaju te tvari, osim ako je njihova koncentracija jednaka ili niža od graničnih vrijednosti utvrđenih u stupcu 2., i u vezi s kojima se sumnjive transakcije te znatni nestanci i krađe trebaju prijaviti u roku od 24 sata:</w:t>
      </w:r>
    </w:p>
    <w:tbl>
      <w:tblPr>
        <w:tblW w:w="5754" w:type="pct"/>
        <w:tblCellSpacing w:w="0" w:type="dxa"/>
        <w:tblInd w:w="-5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984"/>
        <w:gridCol w:w="2361"/>
        <w:gridCol w:w="2211"/>
        <w:gridCol w:w="1893"/>
      </w:tblGrid>
      <w:tr w:rsidR="00165F22" w:rsidRPr="00165F22" w:rsidTr="00165F22">
        <w:trPr>
          <w:tblCellSpacing w:w="0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"/>
              <w:gridCol w:w="1778"/>
            </w:tblGrid>
            <w:tr w:rsidR="00165F22" w:rsidRPr="00165F22" w:rsidTr="00165F22">
              <w:trPr>
                <w:tblCellSpacing w:w="0" w:type="dxa"/>
              </w:trPr>
              <w:tc>
                <w:tcPr>
                  <w:tcW w:w="150" w:type="dxa"/>
                  <w:hideMark/>
                </w:tcPr>
                <w:p w:rsidR="00165F22" w:rsidRPr="00165F22" w:rsidRDefault="00165F22" w:rsidP="00165F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hr-HR"/>
                    </w:rPr>
                  </w:pPr>
                  <w:r w:rsidRPr="00165F2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hr-HR"/>
                    </w:rPr>
                    <w:t>1.</w:t>
                  </w:r>
                </w:p>
              </w:tc>
              <w:tc>
                <w:tcPr>
                  <w:tcW w:w="1466" w:type="dxa"/>
                  <w:hideMark/>
                </w:tcPr>
                <w:p w:rsidR="00165F22" w:rsidRPr="00165F22" w:rsidRDefault="00165F22" w:rsidP="00165F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hr-HR"/>
                    </w:rPr>
                  </w:pPr>
                  <w:r w:rsidRPr="00165F2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hr-HR"/>
                    </w:rPr>
                    <w:t>Naziv tvari i registarski broj međunarodnog registra kemikalija (CAS RN)</w:t>
                  </w:r>
                </w:p>
              </w:tc>
            </w:tr>
          </w:tbl>
          <w:p w:rsidR="00165F22" w:rsidRPr="00165F22" w:rsidRDefault="00165F22" w:rsidP="00165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"/>
              <w:gridCol w:w="1706"/>
            </w:tblGrid>
            <w:tr w:rsidR="00165F22" w:rsidRPr="00165F22" w:rsidTr="00165F22">
              <w:trPr>
                <w:tblCellSpacing w:w="0" w:type="dxa"/>
              </w:trPr>
              <w:tc>
                <w:tcPr>
                  <w:tcW w:w="150" w:type="dxa"/>
                  <w:hideMark/>
                </w:tcPr>
                <w:p w:rsidR="00165F22" w:rsidRPr="00165F22" w:rsidRDefault="00165F22" w:rsidP="00165F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hr-HR"/>
                    </w:rPr>
                  </w:pPr>
                  <w:r w:rsidRPr="00165F2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hr-HR"/>
                    </w:rPr>
                    <w:t>2.</w:t>
                  </w:r>
                </w:p>
              </w:tc>
              <w:tc>
                <w:tcPr>
                  <w:tcW w:w="992" w:type="dxa"/>
                  <w:hideMark/>
                </w:tcPr>
                <w:p w:rsidR="00165F22" w:rsidRPr="00165F22" w:rsidRDefault="00165F22" w:rsidP="00165F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hr-HR"/>
                    </w:rPr>
                  </w:pPr>
                  <w:r w:rsidRPr="00165F2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hr-HR"/>
                    </w:rPr>
                    <w:t>Granična vrijednost</w:t>
                  </w:r>
                </w:p>
              </w:tc>
            </w:tr>
          </w:tbl>
          <w:p w:rsidR="00165F22" w:rsidRPr="00165F22" w:rsidRDefault="00165F22" w:rsidP="00165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"/>
              <w:gridCol w:w="2051"/>
            </w:tblGrid>
            <w:tr w:rsidR="00165F22" w:rsidRPr="00165F22" w:rsidTr="00165F22">
              <w:trPr>
                <w:tblCellSpacing w:w="0" w:type="dxa"/>
              </w:trPr>
              <w:tc>
                <w:tcPr>
                  <w:tcW w:w="150" w:type="dxa"/>
                  <w:hideMark/>
                </w:tcPr>
                <w:p w:rsidR="00165F22" w:rsidRPr="00165F22" w:rsidRDefault="00165F22" w:rsidP="00165F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hr-HR"/>
                    </w:rPr>
                  </w:pPr>
                  <w:r w:rsidRPr="00165F2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hr-HR"/>
                    </w:rPr>
                    <w:t>3.</w:t>
                  </w:r>
                </w:p>
              </w:tc>
              <w:tc>
                <w:tcPr>
                  <w:tcW w:w="1062" w:type="dxa"/>
                  <w:hideMark/>
                </w:tcPr>
                <w:p w:rsidR="00165F22" w:rsidRPr="00165F22" w:rsidRDefault="00165F22" w:rsidP="00165F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hr-HR"/>
                    </w:rPr>
                  </w:pPr>
                  <w:r w:rsidRPr="00165F2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hr-HR"/>
                    </w:rPr>
                    <w:t>Gornja granična vrijednost za potrebe dozvola u skladu s člankom 5. stavkom 3.</w:t>
                  </w:r>
                </w:p>
              </w:tc>
            </w:tr>
          </w:tbl>
          <w:p w:rsidR="00165F22" w:rsidRPr="00165F22" w:rsidRDefault="00165F22" w:rsidP="00165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2071"/>
            </w:tblGrid>
            <w:tr w:rsidR="00165F22" w:rsidRPr="00165F22" w:rsidTr="00165F22">
              <w:trPr>
                <w:tblCellSpacing w:w="0" w:type="dxa"/>
              </w:trPr>
              <w:tc>
                <w:tcPr>
                  <w:tcW w:w="240" w:type="pct"/>
                  <w:hideMark/>
                </w:tcPr>
                <w:p w:rsidR="00165F22" w:rsidRPr="00165F22" w:rsidRDefault="00165F22" w:rsidP="00165F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hr-HR"/>
                    </w:rPr>
                  </w:pPr>
                  <w:r w:rsidRPr="00165F2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hr-HR"/>
                    </w:rPr>
                    <w:t>4.</w:t>
                  </w:r>
                </w:p>
              </w:tc>
              <w:tc>
                <w:tcPr>
                  <w:tcW w:w="4760" w:type="pct"/>
                  <w:hideMark/>
                </w:tcPr>
                <w:p w:rsidR="00165F22" w:rsidRPr="00165F22" w:rsidRDefault="00165F22" w:rsidP="00165F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hr-HR"/>
                    </w:rPr>
                  </w:pPr>
                  <w:r w:rsidRPr="00165F2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hr-HR"/>
                    </w:rPr>
                    <w:t>Oznaka kombinirane nomenklature (KN) za posebni kemijski definirani spoj koji ispunjava zahtjeve bilješke 1 poglavlja 28. odnosno 29. KN-a</w:t>
                  </w:r>
                  <w:hyperlink r:id="rId4" w:anchor="ntr1-L_2019186HR.01001601-E0001" w:history="1">
                    <w:r w:rsidRPr="00165F22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16"/>
                        <w:szCs w:val="16"/>
                        <w:u w:val="single"/>
                        <w:lang w:eastAsia="hr-HR"/>
                      </w:rPr>
                      <w:t> (1)</w:t>
                    </w:r>
                  </w:hyperlink>
                  <w:r w:rsidRPr="00165F2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hr-HR"/>
                    </w:rPr>
                    <w:t xml:space="preserve"> </w:t>
                  </w:r>
                </w:p>
              </w:tc>
            </w:tr>
          </w:tbl>
          <w:p w:rsidR="00165F22" w:rsidRPr="00165F22" w:rsidRDefault="00165F22" w:rsidP="00165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bookmarkStart w:id="0" w:name="_GoBack"/>
            <w:bookmarkEnd w:id="0"/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405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1500"/>
            </w:tblGrid>
            <w:tr w:rsidR="00165F22" w:rsidRPr="00165F22" w:rsidTr="00165F22">
              <w:trPr>
                <w:tblCellSpacing w:w="0" w:type="dxa"/>
              </w:trPr>
              <w:tc>
                <w:tcPr>
                  <w:tcW w:w="150" w:type="dxa"/>
                  <w:hideMark/>
                </w:tcPr>
                <w:p w:rsidR="00165F22" w:rsidRPr="00165F22" w:rsidRDefault="00165F22" w:rsidP="00165F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hr-HR"/>
                    </w:rPr>
                  </w:pPr>
                  <w:r w:rsidRPr="00165F2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hr-HR"/>
                    </w:rPr>
                    <w:t>5.</w:t>
                  </w:r>
                </w:p>
              </w:tc>
              <w:tc>
                <w:tcPr>
                  <w:tcW w:w="1500" w:type="dxa"/>
                  <w:hideMark/>
                </w:tcPr>
                <w:p w:rsidR="00165F22" w:rsidRPr="00165F22" w:rsidRDefault="00165F22" w:rsidP="00165F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hr-HR"/>
                    </w:rPr>
                  </w:pPr>
                  <w:r w:rsidRPr="00165F2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hr-HR"/>
                    </w:rPr>
                    <w:t>Oznaka kombinirane nomenklature (KN) za smjesu bez sastojaka (npr. živa, plemenite kovine, elementi rijetkih zemalja ili radioaktivne tvari) koji bi odredili razvrstavanje pod drugom oznakom KN</w:t>
                  </w:r>
                  <w:hyperlink r:id="rId5" w:anchor="ntr1-L_2019186HR.01001601-E0001" w:history="1">
                    <w:r w:rsidRPr="00165F22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16"/>
                        <w:szCs w:val="16"/>
                        <w:u w:val="single"/>
                        <w:lang w:eastAsia="hr-HR"/>
                      </w:rPr>
                      <w:t> (1)</w:t>
                    </w:r>
                  </w:hyperlink>
                  <w:r w:rsidRPr="00165F2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hr-HR"/>
                    </w:rPr>
                    <w:t xml:space="preserve"> </w:t>
                  </w:r>
                </w:p>
              </w:tc>
            </w:tr>
          </w:tbl>
          <w:p w:rsidR="00165F22" w:rsidRPr="00165F22" w:rsidRDefault="00165F22" w:rsidP="00165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  <w:tr w:rsidR="00165F22" w:rsidRPr="00165F22" w:rsidTr="00165F22">
        <w:trPr>
          <w:tblCellSpacing w:w="0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22" w:rsidRPr="00165F22" w:rsidRDefault="00165F22" w:rsidP="0016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hr-HR"/>
              </w:rPr>
              <w:t>Dušična kiselina</w:t>
            </w:r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(CAS RN 7697-37-2)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22" w:rsidRPr="00165F22" w:rsidRDefault="00165F22" w:rsidP="0016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3 % </w:t>
            </w:r>
            <w:proofErr w:type="spellStart"/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masenog</w:t>
            </w:r>
            <w:proofErr w:type="spellEnd"/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udjela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22" w:rsidRPr="00165F22" w:rsidRDefault="00165F22" w:rsidP="0016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10 % </w:t>
            </w:r>
            <w:proofErr w:type="spellStart"/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masenog</w:t>
            </w:r>
            <w:proofErr w:type="spellEnd"/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udjela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22" w:rsidRPr="00165F22" w:rsidRDefault="00165F22" w:rsidP="0016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ex 2808 00 00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22" w:rsidRPr="00165F22" w:rsidRDefault="00165F22" w:rsidP="0016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ex 3824 99 96 </w:t>
            </w:r>
          </w:p>
        </w:tc>
      </w:tr>
      <w:tr w:rsidR="00165F22" w:rsidRPr="00165F22" w:rsidTr="00165F22">
        <w:trPr>
          <w:tblCellSpacing w:w="0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22" w:rsidRPr="00165F22" w:rsidRDefault="00165F22" w:rsidP="0016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hr-HR"/>
              </w:rPr>
              <w:t>Vodikov peroksid</w:t>
            </w:r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(CAS RN 7722-84-1)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22" w:rsidRPr="00165F22" w:rsidRDefault="00165F22" w:rsidP="0016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12 % </w:t>
            </w:r>
            <w:proofErr w:type="spellStart"/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masenog</w:t>
            </w:r>
            <w:proofErr w:type="spellEnd"/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udjela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22" w:rsidRPr="00165F22" w:rsidRDefault="00165F22" w:rsidP="0016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35 % </w:t>
            </w:r>
            <w:proofErr w:type="spellStart"/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masenog</w:t>
            </w:r>
            <w:proofErr w:type="spellEnd"/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udjela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22" w:rsidRPr="00165F22" w:rsidRDefault="00165F22" w:rsidP="0016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2847 00 00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22" w:rsidRPr="00165F22" w:rsidRDefault="00165F22" w:rsidP="0016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ex 3824 99 96 </w:t>
            </w:r>
          </w:p>
        </w:tc>
      </w:tr>
      <w:tr w:rsidR="00165F22" w:rsidRPr="00165F22" w:rsidTr="00165F22">
        <w:trPr>
          <w:tblCellSpacing w:w="0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22" w:rsidRPr="00165F22" w:rsidRDefault="00165F22" w:rsidP="0016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hr-HR"/>
              </w:rPr>
              <w:t>Sumporna kiselina</w:t>
            </w:r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(CAS RN 7664-93-9)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22" w:rsidRPr="00165F22" w:rsidRDefault="00165F22" w:rsidP="0016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15 % </w:t>
            </w:r>
            <w:proofErr w:type="spellStart"/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masenog</w:t>
            </w:r>
            <w:proofErr w:type="spellEnd"/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udjela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22" w:rsidRPr="00165F22" w:rsidRDefault="00165F22" w:rsidP="0016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40 % </w:t>
            </w:r>
            <w:proofErr w:type="spellStart"/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masenog</w:t>
            </w:r>
            <w:proofErr w:type="spellEnd"/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udjela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22" w:rsidRPr="00165F22" w:rsidRDefault="00165F22" w:rsidP="0016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ex 2807 00 00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22" w:rsidRPr="00165F22" w:rsidRDefault="00165F22" w:rsidP="0016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ex 3824 99 96 </w:t>
            </w:r>
          </w:p>
        </w:tc>
      </w:tr>
      <w:tr w:rsidR="00165F22" w:rsidRPr="00165F22" w:rsidTr="00165F22">
        <w:trPr>
          <w:tblCellSpacing w:w="0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22" w:rsidRPr="00165F22" w:rsidRDefault="00165F22" w:rsidP="0016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hr-HR"/>
              </w:rPr>
              <w:t>Nitrometan</w:t>
            </w:r>
            <w:proofErr w:type="spellEnd"/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(CAS RN 75-52-5)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22" w:rsidRPr="00165F22" w:rsidRDefault="00165F22" w:rsidP="0016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16 % </w:t>
            </w:r>
            <w:proofErr w:type="spellStart"/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masenog</w:t>
            </w:r>
            <w:proofErr w:type="spellEnd"/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udjela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22" w:rsidRPr="00165F22" w:rsidRDefault="00165F22" w:rsidP="0016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100 % </w:t>
            </w:r>
            <w:proofErr w:type="spellStart"/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masenog</w:t>
            </w:r>
            <w:proofErr w:type="spellEnd"/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udjela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22" w:rsidRPr="00165F22" w:rsidRDefault="00165F22" w:rsidP="0016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ex 2904 20 00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22" w:rsidRPr="00165F22" w:rsidRDefault="00165F22" w:rsidP="0016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ex 3824 99 92 </w:t>
            </w:r>
          </w:p>
        </w:tc>
      </w:tr>
      <w:tr w:rsidR="00165F22" w:rsidRPr="00165F22" w:rsidTr="00165F22">
        <w:trPr>
          <w:tblCellSpacing w:w="0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22" w:rsidRPr="00165F22" w:rsidRDefault="00165F22" w:rsidP="0016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hr-HR"/>
              </w:rPr>
              <w:t>Amonijev</w:t>
            </w:r>
            <w:proofErr w:type="spellEnd"/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hr-HR"/>
              </w:rPr>
              <w:t xml:space="preserve"> nitrat</w:t>
            </w:r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(CAS RN 6484-52-2)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22" w:rsidRPr="00165F22" w:rsidRDefault="00165F22" w:rsidP="0016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16 % </w:t>
            </w:r>
            <w:proofErr w:type="spellStart"/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masenog</w:t>
            </w:r>
            <w:proofErr w:type="spellEnd"/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udjela dušika u odnosu na </w:t>
            </w:r>
            <w:proofErr w:type="spellStart"/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amonijev</w:t>
            </w:r>
            <w:proofErr w:type="spellEnd"/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nitrat</w:t>
            </w:r>
            <w:hyperlink r:id="rId6" w:anchor="ntr4-L_2019186HR.01001601-E0004" w:history="1">
              <w:r w:rsidRPr="00165F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hr-HR"/>
                </w:rPr>
                <w:t> (4)</w:t>
              </w:r>
            </w:hyperlink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22" w:rsidRPr="00165F22" w:rsidRDefault="00165F22" w:rsidP="0016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Nije dopušteno izdavanje dozvola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22" w:rsidRPr="00165F22" w:rsidRDefault="00165F22" w:rsidP="0016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3102 30 10 (u vodenoj otopini)</w:t>
            </w:r>
          </w:p>
          <w:p w:rsidR="00165F22" w:rsidRPr="00165F22" w:rsidRDefault="00165F22" w:rsidP="0016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3102 30 90 (ostalo)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22" w:rsidRPr="00165F22" w:rsidRDefault="00165F22" w:rsidP="0016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ex 3824 99 96 </w:t>
            </w:r>
          </w:p>
        </w:tc>
      </w:tr>
      <w:tr w:rsidR="00165F22" w:rsidRPr="00165F22" w:rsidTr="00165F22">
        <w:trPr>
          <w:tblCellSpacing w:w="0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22" w:rsidRPr="00165F22" w:rsidRDefault="00165F22" w:rsidP="0016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hr-HR"/>
              </w:rPr>
              <w:t xml:space="preserve">Kalijev </w:t>
            </w:r>
            <w:proofErr w:type="spellStart"/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hr-HR"/>
              </w:rPr>
              <w:t>klorat</w:t>
            </w:r>
            <w:proofErr w:type="spellEnd"/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(CAS RN 3811-04-9)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22" w:rsidRPr="00165F22" w:rsidRDefault="00165F22" w:rsidP="0016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40 % </w:t>
            </w:r>
            <w:proofErr w:type="spellStart"/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masenog</w:t>
            </w:r>
            <w:proofErr w:type="spellEnd"/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udjela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22" w:rsidRPr="00165F22" w:rsidRDefault="00165F22" w:rsidP="0016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Nije dopušteno izdavanje dozvola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22" w:rsidRPr="00165F22" w:rsidRDefault="00165F22" w:rsidP="0016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ex 2829 19 00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22" w:rsidRPr="00165F22" w:rsidRDefault="00165F22" w:rsidP="0016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ex 3824 99 96 </w:t>
            </w:r>
          </w:p>
        </w:tc>
      </w:tr>
      <w:tr w:rsidR="00165F22" w:rsidRPr="00165F22" w:rsidTr="00165F22">
        <w:trPr>
          <w:tblCellSpacing w:w="0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22" w:rsidRPr="00165F22" w:rsidRDefault="00165F22" w:rsidP="0016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hr-HR"/>
              </w:rPr>
              <w:t xml:space="preserve">Kalijev </w:t>
            </w:r>
            <w:proofErr w:type="spellStart"/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hr-HR"/>
              </w:rPr>
              <w:t>perklorat</w:t>
            </w:r>
            <w:proofErr w:type="spellEnd"/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(CAS RN 7778-74-7)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22" w:rsidRPr="00165F22" w:rsidRDefault="00165F22" w:rsidP="0016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40 % </w:t>
            </w:r>
            <w:proofErr w:type="spellStart"/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masenog</w:t>
            </w:r>
            <w:proofErr w:type="spellEnd"/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udjela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22" w:rsidRPr="00165F22" w:rsidRDefault="00165F22" w:rsidP="0016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Nije dopušteno izdavanje dozvola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22" w:rsidRPr="00165F22" w:rsidRDefault="00165F22" w:rsidP="0016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ex 2829 90 10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22" w:rsidRPr="00165F22" w:rsidRDefault="00165F22" w:rsidP="0016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ex 3824 99 96 </w:t>
            </w:r>
          </w:p>
        </w:tc>
      </w:tr>
      <w:tr w:rsidR="00165F22" w:rsidRPr="00165F22" w:rsidTr="00165F22">
        <w:trPr>
          <w:tblCellSpacing w:w="0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22" w:rsidRPr="00165F22" w:rsidRDefault="00165F22" w:rsidP="0016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hr-HR"/>
              </w:rPr>
              <w:t xml:space="preserve">Natrijev </w:t>
            </w:r>
            <w:proofErr w:type="spellStart"/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hr-HR"/>
              </w:rPr>
              <w:t>klorat</w:t>
            </w:r>
            <w:proofErr w:type="spellEnd"/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(CAS RN 7775-09-9)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22" w:rsidRPr="00165F22" w:rsidRDefault="00165F22" w:rsidP="0016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40 % </w:t>
            </w:r>
            <w:proofErr w:type="spellStart"/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masenog</w:t>
            </w:r>
            <w:proofErr w:type="spellEnd"/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udjela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22" w:rsidRPr="00165F22" w:rsidRDefault="00165F22" w:rsidP="0016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Nije dopušteno izdavanje dozvola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22" w:rsidRPr="00165F22" w:rsidRDefault="00165F22" w:rsidP="0016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2829 11 00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22" w:rsidRPr="00165F22" w:rsidRDefault="00165F22" w:rsidP="0016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ex 3824 99 96 </w:t>
            </w:r>
          </w:p>
        </w:tc>
      </w:tr>
      <w:tr w:rsidR="00165F22" w:rsidRPr="00165F22" w:rsidTr="00165F22">
        <w:trPr>
          <w:tblCellSpacing w:w="0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22" w:rsidRPr="00165F22" w:rsidRDefault="00165F22" w:rsidP="0016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hr-HR"/>
              </w:rPr>
              <w:t xml:space="preserve">Natrijev </w:t>
            </w:r>
            <w:proofErr w:type="spellStart"/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hr-HR"/>
              </w:rPr>
              <w:t>perklorat</w:t>
            </w:r>
            <w:proofErr w:type="spellEnd"/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(CAS RN 7601-89-0)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22" w:rsidRPr="00165F22" w:rsidRDefault="00165F22" w:rsidP="0016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40 % </w:t>
            </w:r>
            <w:proofErr w:type="spellStart"/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masenog</w:t>
            </w:r>
            <w:proofErr w:type="spellEnd"/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udjela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22" w:rsidRPr="00165F22" w:rsidRDefault="00165F22" w:rsidP="0016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Nije dopušteno izdavanje dozvola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22" w:rsidRPr="00165F22" w:rsidRDefault="00165F22" w:rsidP="0016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ex 2829 90 10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22" w:rsidRPr="00165F22" w:rsidRDefault="00165F22" w:rsidP="0016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5F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ex 3824 99 96 </w:t>
            </w:r>
          </w:p>
        </w:tc>
      </w:tr>
    </w:tbl>
    <w:p w:rsidR="00165F22" w:rsidRPr="00165F22" w:rsidRDefault="00165F22" w:rsidP="00165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5F22" w:rsidRPr="00165F22" w:rsidRDefault="00165F22" w:rsidP="00165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hyperlink r:id="rId7" w:anchor="ntc1-L_2019186HR.01001601-E0001" w:history="1">
        <w:r w:rsidRPr="00165F2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(1)</w:t>
        </w:r>
      </w:hyperlink>
      <w:r w:rsidRPr="00165F22">
        <w:rPr>
          <w:rFonts w:ascii="Times New Roman" w:eastAsia="Times New Roman" w:hAnsi="Times New Roman" w:cs="Times New Roman"/>
          <w:sz w:val="16"/>
          <w:szCs w:val="16"/>
          <w:lang w:eastAsia="hr-HR"/>
        </w:rPr>
        <w:t>  Provedbena uredba Komisije (EU) 2017/1925 </w:t>
      </w:r>
      <w:hyperlink r:id="rId8" w:anchor="ntr2-L_2019186HR.01001601-E0002" w:history="1">
        <w:r w:rsidRPr="00165F2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(2)</w:t>
        </w:r>
      </w:hyperlink>
      <w:r w:rsidRPr="00165F22">
        <w:rPr>
          <w:rFonts w:ascii="Times New Roman" w:eastAsia="Times New Roman" w:hAnsi="Times New Roman" w:cs="Times New Roman"/>
          <w:sz w:val="16"/>
          <w:szCs w:val="16"/>
          <w:lang w:eastAsia="hr-HR"/>
        </w:rPr>
        <w:t>. Trebalo bi vidjeti naknadne izmjene Priloga I. Uredbi Vijeća (EEZ) br. 2658/87 </w:t>
      </w:r>
      <w:hyperlink r:id="rId9" w:anchor="ntr3-L_2019186HR.01001601-E0003" w:history="1">
        <w:r w:rsidRPr="00165F2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(3)</w:t>
        </w:r>
      </w:hyperlink>
      <w:r w:rsidRPr="00165F22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radi ažuriranih oznaka KN.</w:t>
      </w:r>
    </w:p>
    <w:p w:rsidR="00165F22" w:rsidRPr="00165F22" w:rsidRDefault="00165F22" w:rsidP="00165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hyperlink r:id="rId10" w:anchor="ntc2-L_2019186HR.01001601-E0002" w:history="1">
        <w:r w:rsidRPr="00165F2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(2)</w:t>
        </w:r>
      </w:hyperlink>
      <w:r w:rsidRPr="00165F22">
        <w:rPr>
          <w:rFonts w:ascii="Times New Roman" w:eastAsia="Times New Roman" w:hAnsi="Times New Roman" w:cs="Times New Roman"/>
          <w:sz w:val="16"/>
          <w:szCs w:val="16"/>
          <w:lang w:eastAsia="hr-HR"/>
        </w:rPr>
        <w:t>  Provedbena uredba Komisije (EU) br. 2017/1925 od 12. listopada 2017. o izmjeni Priloga I. Uredbi Vijeća (EEZ) br. 2658/87 o tarifnoj i statističkoj nomenklaturi i o Zajedničkoj carinskoj tarifi (</w:t>
      </w:r>
      <w:hyperlink r:id="rId11" w:history="1">
        <w:r w:rsidRPr="00165F2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SL L 282, 31.10.2017., str. 1</w:t>
        </w:r>
      </w:hyperlink>
      <w:r w:rsidRPr="00165F22">
        <w:rPr>
          <w:rFonts w:ascii="Times New Roman" w:eastAsia="Times New Roman" w:hAnsi="Times New Roman" w:cs="Times New Roman"/>
          <w:sz w:val="16"/>
          <w:szCs w:val="16"/>
          <w:lang w:eastAsia="hr-HR"/>
        </w:rPr>
        <w:t>.).</w:t>
      </w:r>
    </w:p>
    <w:p w:rsidR="00165F22" w:rsidRPr="00165F22" w:rsidRDefault="00165F22" w:rsidP="00165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hyperlink r:id="rId12" w:anchor="ntc3-L_2019186HR.01001601-E0003" w:history="1">
        <w:r w:rsidRPr="00165F2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(3)</w:t>
        </w:r>
      </w:hyperlink>
      <w:r w:rsidRPr="00165F22">
        <w:rPr>
          <w:rFonts w:ascii="Times New Roman" w:eastAsia="Times New Roman" w:hAnsi="Times New Roman" w:cs="Times New Roman"/>
          <w:sz w:val="16"/>
          <w:szCs w:val="16"/>
          <w:lang w:eastAsia="hr-HR"/>
        </w:rPr>
        <w:t>  Uredba Vijeća (EEZ) br. 2658/87 od 23. srpnja 1987. o tarifnoj i statističkoj nomenklaturi i o Zajedničkoj carinskoj tarifi (</w:t>
      </w:r>
      <w:hyperlink r:id="rId13" w:history="1">
        <w:r w:rsidRPr="00165F2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SL L 256, 7.9.1987., str. 1</w:t>
        </w:r>
      </w:hyperlink>
      <w:r w:rsidRPr="00165F22">
        <w:rPr>
          <w:rFonts w:ascii="Times New Roman" w:eastAsia="Times New Roman" w:hAnsi="Times New Roman" w:cs="Times New Roman"/>
          <w:sz w:val="16"/>
          <w:szCs w:val="16"/>
          <w:lang w:eastAsia="hr-HR"/>
        </w:rPr>
        <w:t>.).</w:t>
      </w:r>
    </w:p>
    <w:p w:rsidR="00165F22" w:rsidRPr="00165F22" w:rsidRDefault="00165F22" w:rsidP="00165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hyperlink r:id="rId14" w:anchor="ntc4-L_2019186HR.01001601-E0004" w:history="1">
        <w:r w:rsidRPr="00165F2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(4)</w:t>
        </w:r>
      </w:hyperlink>
      <w:r w:rsidRPr="00165F22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  16 % </w:t>
      </w:r>
      <w:proofErr w:type="spellStart"/>
      <w:r w:rsidRPr="00165F22">
        <w:rPr>
          <w:rFonts w:ascii="Times New Roman" w:eastAsia="Times New Roman" w:hAnsi="Times New Roman" w:cs="Times New Roman"/>
          <w:sz w:val="16"/>
          <w:szCs w:val="16"/>
          <w:lang w:eastAsia="hr-HR"/>
        </w:rPr>
        <w:t>masenog</w:t>
      </w:r>
      <w:proofErr w:type="spellEnd"/>
      <w:r w:rsidRPr="00165F22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udjela dušika u odnosu na </w:t>
      </w:r>
      <w:proofErr w:type="spellStart"/>
      <w:r w:rsidRPr="00165F22">
        <w:rPr>
          <w:rFonts w:ascii="Times New Roman" w:eastAsia="Times New Roman" w:hAnsi="Times New Roman" w:cs="Times New Roman"/>
          <w:sz w:val="16"/>
          <w:szCs w:val="16"/>
          <w:lang w:eastAsia="hr-HR"/>
        </w:rPr>
        <w:t>amonijev</w:t>
      </w:r>
      <w:proofErr w:type="spellEnd"/>
      <w:r w:rsidRPr="00165F22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nitrat odgovara 45,7 % </w:t>
      </w:r>
      <w:proofErr w:type="spellStart"/>
      <w:r w:rsidRPr="00165F22">
        <w:rPr>
          <w:rFonts w:ascii="Times New Roman" w:eastAsia="Times New Roman" w:hAnsi="Times New Roman" w:cs="Times New Roman"/>
          <w:sz w:val="16"/>
          <w:szCs w:val="16"/>
          <w:lang w:eastAsia="hr-HR"/>
        </w:rPr>
        <w:t>amonijevog</w:t>
      </w:r>
      <w:proofErr w:type="spellEnd"/>
      <w:r w:rsidRPr="00165F22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nitrata, pri čemu se odbacuju nečistoće.</w:t>
      </w:r>
    </w:p>
    <w:p w:rsidR="004D6678" w:rsidRDefault="00165F22"/>
    <w:sectPr w:rsidR="004D6678" w:rsidSect="00165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22"/>
    <w:rsid w:val="00165F22"/>
    <w:rsid w:val="00531D1B"/>
    <w:rsid w:val="009D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16D7"/>
  <w15:chartTrackingRefBased/>
  <w15:docId w15:val="{C6F996C8-9025-4309-9CEC-AFD88AAF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HR/TXT/?uri=CELEX:32019R1148" TargetMode="External"/><Relationship Id="rId13" Type="http://schemas.openxmlformats.org/officeDocument/2006/relationships/hyperlink" Target="https://eur-lex.europa.eu/legal-content/HR/AUTO/?uri=OJ:L:1987:256:T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-lex.europa.eu/legal-content/HR/TXT/?uri=CELEX:32019R1148" TargetMode="External"/><Relationship Id="rId12" Type="http://schemas.openxmlformats.org/officeDocument/2006/relationships/hyperlink" Target="https://eur-lex.europa.eu/legal-content/HR/TXT/?uri=CELEX:32019R114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HR/TXT/?uri=CELEX:32019R1148" TargetMode="External"/><Relationship Id="rId11" Type="http://schemas.openxmlformats.org/officeDocument/2006/relationships/hyperlink" Target="https://eur-lex.europa.eu/legal-content/HR/AUTO/?uri=OJ:L:2017:282:TOC" TargetMode="External"/><Relationship Id="rId5" Type="http://schemas.openxmlformats.org/officeDocument/2006/relationships/hyperlink" Target="https://eur-lex.europa.eu/legal-content/HR/TXT/?uri=CELEX:32019R114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ur-lex.europa.eu/legal-content/HR/TXT/?uri=CELEX:32019R1148" TargetMode="External"/><Relationship Id="rId4" Type="http://schemas.openxmlformats.org/officeDocument/2006/relationships/hyperlink" Target="https://eur-lex.europa.eu/legal-content/HR/TXT/?uri=CELEX:32019R1148" TargetMode="External"/><Relationship Id="rId9" Type="http://schemas.openxmlformats.org/officeDocument/2006/relationships/hyperlink" Target="https://eur-lex.europa.eu/legal-content/HR/TXT/?uri=CELEX:32019R1148" TargetMode="External"/><Relationship Id="rId14" Type="http://schemas.openxmlformats.org/officeDocument/2006/relationships/hyperlink" Target="https://eur-lex.europa.eu/legal-content/HR/TXT/?uri=CELEX:32019R114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Vrhovac Filipović Ivana</dc:creator>
  <cp:keywords/>
  <dc:description/>
  <cp:lastModifiedBy>Vrhovac Filipović Ivana</cp:lastModifiedBy>
  <cp:revision>1</cp:revision>
  <dcterms:created xsi:type="dcterms:W3CDTF">2021-04-14T08:35:00Z</dcterms:created>
  <dcterms:modified xsi:type="dcterms:W3CDTF">2021-04-14T08:50:00Z</dcterms:modified>
</cp:coreProperties>
</file>